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396" w:leader="none"/>
        </w:tabs>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НАРОДНО ЧИТАЛИЩЕ”ПРОСВЕТА1927г.”с.ГОСТИНЯ,общ.ЛОВЕЧ</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ПРОГРАМА</w:t>
      </w:r>
    </w:p>
    <w:p>
      <w:pPr>
        <w:spacing w:before="0" w:after="200" w:line="276"/>
        <w:ind w:right="0" w:left="0" w:firstLine="0"/>
        <w:jc w:val="center"/>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 РАЗВИТИЕ НА ЧИТАЛИЩНИТЕ ДЕЙНОСТИ ПРЕЗ  2023г.- 2024г.</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numPr>
          <w:ilvl w:val="0"/>
          <w:numId w:val="4"/>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НА РЕСУРСИТЕ</w:t>
      </w:r>
    </w:p>
    <w:p>
      <w:pPr>
        <w:numPr>
          <w:ilvl w:val="0"/>
          <w:numId w:val="4"/>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Човешки ресурси:</w:t>
      </w:r>
    </w:p>
    <w:p>
      <w:pPr>
        <w:numPr>
          <w:ilvl w:val="0"/>
          <w:numId w:val="4"/>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Брой читалищни членове  01.01.2023г.         - 50бр.</w:t>
      </w:r>
    </w:p>
    <w:p>
      <w:pPr>
        <w:numPr>
          <w:ilvl w:val="0"/>
          <w:numId w:val="4"/>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Новоприети през 2023г.                                  -   7бр.</w:t>
      </w:r>
    </w:p>
    <w:p>
      <w:pPr>
        <w:numPr>
          <w:ilvl w:val="0"/>
          <w:numId w:val="4"/>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Общо читалищни членове към 31.12.2023г. – 53 бр.</w:t>
      </w:r>
    </w:p>
    <w:p>
      <w:pPr>
        <w:numPr>
          <w:ilvl w:val="0"/>
          <w:numId w:val="4"/>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Читалищна субсидирана численост за 2023 г.-0.5 бр.</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Състояние на материално-техническата база на читалището </w:t>
      </w:r>
    </w:p>
    <w:tbl>
      <w:tblPr/>
      <w:tblGrid>
        <w:gridCol w:w="426"/>
        <w:gridCol w:w="1887"/>
        <w:gridCol w:w="1897"/>
        <w:gridCol w:w="1886"/>
        <w:gridCol w:w="2055"/>
        <w:gridCol w:w="1772"/>
      </w:tblGrid>
      <w:tr>
        <w:trPr>
          <w:trHeight w:val="1195" w:hRule="auto"/>
          <w:jc w:val="left"/>
        </w:trPr>
        <w:tc>
          <w:tcPr>
            <w:tcW w:w="426"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188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на имота/Акт</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 общинска собственост и адрес</w:t>
            </w:r>
          </w:p>
        </w:tc>
        <w:tc>
          <w:tcPr>
            <w:tcW w:w="189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Описание на имота</w:t>
            </w:r>
          </w:p>
        </w:tc>
        <w:tc>
          <w:tcPr>
            <w:tcW w:w="1886"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Състояние,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проблеми</w:t>
            </w:r>
          </w:p>
        </w:tc>
        <w:tc>
          <w:tcPr>
            <w:tcW w:w="2055"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Извършени ремонти</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през2020г.</w:t>
            </w:r>
          </w:p>
        </w:tc>
        <w:tc>
          <w:tcPr>
            <w:tcW w:w="1772"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Финансиране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източник,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стойност 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ремонтните</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w:t>
            </w:r>
          </w:p>
        </w:tc>
      </w:tr>
      <w:tr>
        <w:trPr>
          <w:trHeight w:val="1784" w:hRule="auto"/>
          <w:jc w:val="left"/>
        </w:trPr>
        <w:tc>
          <w:tcPr>
            <w:tcW w:w="4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6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188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Читалище”Просвета1927г.”с. Гостиня,обл.Ловеч,общ.Ловеч,ул.”Хан Аспарух”№39</w:t>
            </w:r>
          </w:p>
        </w:tc>
        <w:tc>
          <w:tcPr>
            <w:tcW w:w="189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Предоставена за безвъзмездно ползване сграда за читалище обща площ-250кв.м.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Читалищен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салон-1бр.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  -1бр.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етнографски кът</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 библиотека</w:t>
            </w:r>
          </w:p>
        </w:tc>
        <w:tc>
          <w:tcPr>
            <w:tcW w:w="18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Изгнил под в салона и смяна на вратата на клуба с ПВЦ дограма.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бр. -прозорец между двата етажа.</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Частичен ремонт на покрива на читалището</w:t>
            </w:r>
          </w:p>
        </w:tc>
        <w:tc>
          <w:tcPr>
            <w:tcW w:w="20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няма</w:t>
            </w:r>
          </w:p>
        </w:tc>
        <w:tc>
          <w:tcPr>
            <w:tcW w:w="177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numPr>
          <w:ilvl w:val="0"/>
          <w:numId w:val="18"/>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 от ремонтни дейности през </w:t>
      </w:r>
      <w:r>
        <w:rPr>
          <w:rFonts w:ascii="Times New Roman" w:hAnsi="Times New Roman" w:cs="Times New Roman" w:eastAsia="Times New Roman"/>
          <w:b/>
          <w:color w:val="auto"/>
          <w:spacing w:val="0"/>
          <w:position w:val="0"/>
          <w:sz w:val="24"/>
          <w:shd w:fill="auto" w:val="clear"/>
        </w:rPr>
        <w:t xml:space="preserve">2021</w:t>
      </w:r>
      <w:r>
        <w:rPr>
          <w:rFonts w:ascii="Times New Roman" w:hAnsi="Times New Roman" w:cs="Times New Roman" w:eastAsia="Times New Roman"/>
          <w:color w:val="auto"/>
          <w:spacing w:val="0"/>
          <w:position w:val="0"/>
          <w:sz w:val="24"/>
          <w:shd w:fill="auto" w:val="clear"/>
        </w:rPr>
        <w:t xml:space="preserve"> г., източник на финансиране.</w:t>
      </w:r>
    </w:p>
    <w:p>
      <w:pPr>
        <w:numPr>
          <w:ilvl w:val="0"/>
          <w:numId w:val="18"/>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е през следващата 2021 г.изгнилия под в салона да се смени и да се подмени входната врата на клуба с ПВЦ дограма.да се смени 1бр. прозорец между двата етажа с ПВЦ дограмаи и частичен ремонт на покрива на читалището.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Техническа обезпеченост на дейностите на читалището.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Налични брой компютърни конфигурации -1бр.,осигурена 2012г.с допълваща,субсидия от община Ловеч,1бр.цветен принтер и ксерокс-скенер.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През 2016г. закупена нова компютърна конфигурация-лаптоп, по-проектен фиш от общ.Ловеч.на стойност-600.00лв.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r>
      <w:r>
        <w:rPr>
          <w:rFonts w:ascii="Times New Roman" w:hAnsi="Times New Roman" w:cs="Times New Roman" w:eastAsia="Times New Roman"/>
          <w:color w:val="auto"/>
          <w:spacing w:val="0"/>
          <w:position w:val="0"/>
          <w:sz w:val="24"/>
          <w:shd w:fill="auto" w:val="clear"/>
        </w:rPr>
        <w:t xml:space="preserve">Прекарване на интернет връзка с рутер и заплащане такса за една година през 2015г. по проектен фиш от общ. Ловеч.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r>
      <w:r>
        <w:rPr>
          <w:rFonts w:ascii="Times New Roman" w:hAnsi="Times New Roman" w:cs="Times New Roman" w:eastAsia="Times New Roman"/>
          <w:color w:val="auto"/>
          <w:spacing w:val="0"/>
          <w:position w:val="0"/>
          <w:sz w:val="24"/>
          <w:shd w:fill="auto" w:val="clear"/>
        </w:rPr>
        <w:t xml:space="preserve">Закупена   мултимедия, и стативен екран през 2015г. с проектен фиш от общ. Ловеч и със собствени средства 425.00лв.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w:t>
      </w:r>
      <w:r>
        <w:rPr>
          <w:rFonts w:ascii="Times New Roman" w:hAnsi="Times New Roman" w:cs="Times New Roman" w:eastAsia="Times New Roman"/>
          <w:color w:val="auto"/>
          <w:spacing w:val="0"/>
          <w:position w:val="0"/>
          <w:sz w:val="24"/>
          <w:shd w:fill="auto" w:val="clear"/>
        </w:rPr>
        <w:t xml:space="preserve">Налични сценични костюми- няма.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Самодеен колектив- няма.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b/>
          <w:color w:val="auto"/>
          <w:spacing w:val="0"/>
          <w:position w:val="0"/>
          <w:sz w:val="24"/>
          <w:shd w:fill="auto" w:val="clear"/>
        </w:rPr>
        <w:t xml:space="preserve">Състояние на библиотечната дейност в читалището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 брой библиотечни единици,  -3400 бр.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Абонамент за периодичен печат през 2020 г.-Трета възраст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Участие на младите хора в дейността на народните читалища в Община Ловеч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Брой млади хора, ученици, ползващи библиотечни услуги, интернет-през годината-20бр.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4"/>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Изводи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Единственото културно-просветно и социално огнище и будилник на народния дух на село Гостиня е Народно читалище „Просвета1927г.преживяло трудните преходни години, то все още пази културно-историческото ни наследство.То е средище за съхранение на традиции , обичаи и е живеца на селото.И тази негова функция трябва да пазим и развиваме.</w:t>
      </w:r>
    </w:p>
    <w:p>
      <w:pPr>
        <w:numPr>
          <w:ilvl w:val="0"/>
          <w:numId w:val="26"/>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Основни 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развитие и обогатяване на културния живот;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запазване на обичаите и традициите;</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млади хора към читалището;</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повече възрастни хора към клуба на пенсионера;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тържества,концерти,представяне на обичаи;</w:t>
      </w:r>
    </w:p>
    <w:p>
      <w:pPr>
        <w:numPr>
          <w:ilvl w:val="0"/>
          <w:numId w:val="28"/>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Дейности за изпълнение на основните цели</w:t>
      </w:r>
    </w:p>
    <w:p>
      <w:pPr>
        <w:numPr>
          <w:ilvl w:val="0"/>
          <w:numId w:val="28"/>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на библиотечната и информационна дейност:</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закупуване на нови книги;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летни читални за деца;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създаване на ателиета за работа с децата;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колективни посещения на исторически забележителности;</w:t>
      </w:r>
    </w:p>
    <w:p>
      <w:pPr>
        <w:numPr>
          <w:ilvl w:val="0"/>
          <w:numId w:val="31"/>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насочени към младите хора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организиране на „Забавно лято”;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с доброволен труд почистване на парка;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 голям интерес към книгата;</w:t>
      </w:r>
    </w:p>
    <w:p>
      <w:pPr>
        <w:numPr>
          <w:ilvl w:val="0"/>
          <w:numId w:val="33"/>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 приобщаване на възрастните хора ,съвместно с пенсионерските клубове и др. организации.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съществува клуб на пенсионер;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на желаещите за работа с компютър;</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Календарен план на събитията през 2021г.</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1526"/>
        <w:gridCol w:w="5103"/>
        <w:gridCol w:w="4111"/>
      </w:tblGrid>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Месец</w:t>
            </w:r>
          </w:p>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Дейност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рганизатор</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януари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Бабин ден”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февруари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Трифон Зарезан”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Март</w:t>
            </w:r>
          </w:p>
          <w:p>
            <w:pPr>
              <w:spacing w:before="0" w:after="200" w:line="276"/>
              <w:ind w:right="29" w:left="0" w:firstLine="0"/>
              <w:jc w:val="left"/>
              <w:rPr>
                <w:color w:val="auto"/>
                <w:spacing w:val="0"/>
                <w:position w:val="0"/>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Национален празник на България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w:t>
            </w:r>
            <w:r>
              <w:rPr>
                <w:rFonts w:ascii="Times New Roman" w:hAnsi="Times New Roman" w:cs="Times New Roman" w:eastAsia="Times New Roman"/>
                <w:color w:val="auto"/>
                <w:spacing w:val="0"/>
                <w:position w:val="0"/>
                <w:sz w:val="24"/>
                <w:shd w:fill="auto" w:val="clear"/>
              </w:rPr>
              <w:t xml:space="preserve">Международен ден жената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Първа пролет</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април</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 </w:t>
            </w:r>
            <w:r>
              <w:rPr>
                <w:rFonts w:ascii="Times New Roman" w:hAnsi="Times New Roman" w:cs="Times New Roman" w:eastAsia="Times New Roman"/>
                <w:color w:val="auto"/>
                <w:spacing w:val="0"/>
                <w:position w:val="0"/>
                <w:sz w:val="24"/>
                <w:shd w:fill="auto" w:val="clear"/>
              </w:rPr>
              <w:t xml:space="preserve">Международен ден на детската книга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Лазаров ден и Цветница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Великден- боядисване на яйца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Световен ден на книгата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май </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Ден на победата и ден на Европа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Ден на библиотекаря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Ден на славянската писменост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юни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Международен ден на детето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w:t>
            </w:r>
            <w:r>
              <w:rPr>
                <w:rFonts w:ascii="Times New Roman" w:hAnsi="Times New Roman" w:cs="Times New Roman" w:eastAsia="Times New Roman"/>
                <w:color w:val="auto"/>
                <w:spacing w:val="0"/>
                <w:position w:val="0"/>
                <w:sz w:val="24"/>
                <w:shd w:fill="auto" w:val="clear"/>
              </w:rPr>
              <w:t xml:space="preserve">Ден на Ботев и загиналите за свободата на България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Еньовден”-ден на билките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p>
            <w:pPr>
              <w:spacing w:before="0" w:after="200" w:line="276"/>
              <w:ind w:right="29" w:left="0" w:firstLine="0"/>
              <w:jc w:val="left"/>
              <w:rPr>
                <w:color w:val="auto"/>
                <w:spacing w:val="0"/>
                <w:position w:val="0"/>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юли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01-31 „</w:t>
            </w:r>
            <w:r>
              <w:rPr>
                <w:rFonts w:ascii="Times New Roman" w:hAnsi="Times New Roman" w:cs="Times New Roman" w:eastAsia="Times New Roman"/>
                <w:color w:val="auto"/>
                <w:spacing w:val="0"/>
                <w:position w:val="0"/>
                <w:sz w:val="24"/>
                <w:shd w:fill="auto" w:val="clear"/>
              </w:rPr>
              <w:t xml:space="preserve">Забавно лято”</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01-31-</w:t>
            </w:r>
            <w:r>
              <w:rPr>
                <w:rFonts w:ascii="Times New Roman" w:hAnsi="Times New Roman" w:cs="Times New Roman" w:eastAsia="Times New Roman"/>
                <w:color w:val="auto"/>
                <w:spacing w:val="0"/>
                <w:position w:val="0"/>
                <w:sz w:val="24"/>
                <w:shd w:fill="auto" w:val="clear"/>
              </w:rPr>
              <w:t xml:space="preserve">Лятна работа с децата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август</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Деца помагат на възрастните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септември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Ден на Съединението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Ден на независимостта</w:t>
            </w:r>
          </w:p>
          <w:p>
            <w:pPr>
              <w:spacing w:before="0" w:after="200" w:line="276"/>
              <w:ind w:right="29" w:left="0" w:firstLine="0"/>
              <w:jc w:val="left"/>
              <w:rPr>
                <w:color w:val="auto"/>
                <w:spacing w:val="0"/>
                <w:position w:val="0"/>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октомври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възрастните хора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ноември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Народните будители                            01-30- Празник на селото</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декември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Ден на хората с увреждания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25-30-</w:t>
            </w:r>
            <w:r>
              <w:rPr>
                <w:rFonts w:ascii="Times New Roman" w:hAnsi="Times New Roman" w:cs="Times New Roman" w:eastAsia="Times New Roman"/>
                <w:color w:val="auto"/>
                <w:spacing w:val="0"/>
                <w:position w:val="0"/>
                <w:sz w:val="24"/>
                <w:shd w:fill="auto" w:val="clear"/>
              </w:rPr>
              <w:t xml:space="preserve">Коледни и новогодишни празници</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Изпълнението на настоящата програма ще даде възможност за реализация на набелязаните основни цели. Успешното им изпълнение ще помогни за опазване на културно историческото наследство, ще даде възможност за удовлетворяване нуждите на бъдещите поколения да се запознаят с родния край, подпомага развитието на уреждането и поддържането на библиотечния фонд, ще допринесе за обогатяване на културния живот в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Реализирането й ще превърни читалището в изключително привлекателно място за жителите и гостите на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Програмата е отворена за допълнения!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Читалищен секретар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Златка  Йорданова</w:t>
      </w:r>
      <w:r>
        <w:rPr>
          <w:rFonts w:ascii="Times New Roman" w:hAnsi="Times New Roman" w:cs="Times New Roman" w:eastAsia="Times New Roman"/>
          <w:b/>
          <w:color w:val="auto"/>
          <w:spacing w:val="0"/>
          <w:position w:val="0"/>
          <w:sz w:val="32"/>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СПИСЪК НА ЧИТАЛИЩНОТО НАСТОЯТЕЛСТВО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Илианка Цанева Колева- Председател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 </w:t>
      </w:r>
      <w:r>
        <w:rPr>
          <w:rFonts w:ascii="Times New Roman" w:hAnsi="Times New Roman" w:cs="Times New Roman" w:eastAsia="Times New Roman"/>
          <w:color w:val="auto"/>
          <w:spacing w:val="0"/>
          <w:position w:val="0"/>
          <w:sz w:val="32"/>
          <w:shd w:fill="auto" w:val="clear"/>
        </w:rPr>
        <w:t xml:space="preserve">Пена Генова Иванова - член</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Величка Тодорова Цонева- член</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Списък на проверителната  комисия:</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Ценка Сярова Косева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Славка Спасова Цонева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Радка Вълчева Иванова</w:t>
      </w: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Чит. Секретар:</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Златка Иванова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ab/>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4">
    <w:abstractNumId w:val="36"/>
  </w:num>
  <w:num w:numId="18">
    <w:abstractNumId w:val="30"/>
  </w:num>
  <w:num w:numId="24">
    <w:abstractNumId w:val="24"/>
  </w:num>
  <w:num w:numId="26">
    <w:abstractNumId w:val="18"/>
  </w:num>
  <w:num w:numId="28">
    <w:abstractNumId w:val="12"/>
  </w:num>
  <w:num w:numId="31">
    <w:abstractNumId w:val="6"/>
  </w: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